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66" w:rsidRPr="001401C5" w:rsidRDefault="008A4166" w:rsidP="008A416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</w:t>
      </w:r>
      <w:r w:rsidR="00192A84">
        <w:rPr>
          <w:rFonts w:ascii="宋体" w:hAnsi="宋体" w:hint="eastAsia"/>
          <w:b/>
          <w:sz w:val="28"/>
          <w:szCs w:val="28"/>
        </w:rPr>
        <w:t>7</w:t>
      </w:r>
      <w:r w:rsidRPr="001401C5">
        <w:rPr>
          <w:rFonts w:ascii="宋体" w:hAnsi="宋体" w:hint="eastAsia"/>
          <w:b/>
          <w:sz w:val="28"/>
          <w:szCs w:val="28"/>
        </w:rPr>
        <w:t>届毕业研究生就业去向统计图</w:t>
      </w:r>
    </w:p>
    <w:p w:rsidR="008A4166" w:rsidRDefault="00192A84">
      <w:r>
        <w:rPr>
          <w:noProof/>
        </w:rPr>
        <w:drawing>
          <wp:inline distT="0" distB="0" distL="0" distR="0">
            <wp:extent cx="7128510" cy="4795166"/>
            <wp:effectExtent l="19050" t="0" r="15240" b="5434"/>
            <wp:docPr id="2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6F1E" w:rsidRDefault="00256F1E"/>
    <w:p w:rsidR="008A4166" w:rsidRDefault="00192A84" w:rsidP="008A4166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</w:t>
      </w:r>
      <w:r w:rsidR="008A4166" w:rsidRPr="001401C5">
        <w:rPr>
          <w:rFonts w:ascii="宋体" w:hAnsi="宋体" w:hint="eastAsia"/>
          <w:b/>
          <w:sz w:val="28"/>
          <w:szCs w:val="28"/>
        </w:rPr>
        <w:t>届毕业研究生就业去向统计图</w:t>
      </w:r>
    </w:p>
    <w:p w:rsidR="008A4166" w:rsidRPr="00192A84" w:rsidRDefault="00192A84" w:rsidP="005B1E2C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192A84">
        <w:rPr>
          <w:rFonts w:ascii="宋体" w:hAnsi="宋体"/>
          <w:b/>
          <w:sz w:val="28"/>
          <w:szCs w:val="28"/>
        </w:rPr>
        <w:drawing>
          <wp:inline distT="0" distB="0" distL="0" distR="0">
            <wp:extent cx="7215763" cy="3969099"/>
            <wp:effectExtent l="19050" t="0" r="23237" b="0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A4166" w:rsidRPr="00192A84" w:rsidSect="005B1E2C">
      <w:pgSz w:w="11906" w:h="16838"/>
      <w:pgMar w:top="397" w:right="340" w:bottom="3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A6" w:rsidRDefault="007207A6" w:rsidP="008A4166">
      <w:r>
        <w:separator/>
      </w:r>
    </w:p>
  </w:endnote>
  <w:endnote w:type="continuationSeparator" w:id="0">
    <w:p w:rsidR="007207A6" w:rsidRDefault="007207A6" w:rsidP="008A4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A6" w:rsidRDefault="007207A6" w:rsidP="008A4166">
      <w:r>
        <w:separator/>
      </w:r>
    </w:p>
  </w:footnote>
  <w:footnote w:type="continuationSeparator" w:id="0">
    <w:p w:rsidR="007207A6" w:rsidRDefault="007207A6" w:rsidP="008A4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AEC"/>
    <w:rsid w:val="000065B6"/>
    <w:rsid w:val="00007AFC"/>
    <w:rsid w:val="00014AC5"/>
    <w:rsid w:val="00016841"/>
    <w:rsid w:val="00020424"/>
    <w:rsid w:val="00027EF1"/>
    <w:rsid w:val="00033603"/>
    <w:rsid w:val="00034C1D"/>
    <w:rsid w:val="000444F6"/>
    <w:rsid w:val="0004599F"/>
    <w:rsid w:val="00062631"/>
    <w:rsid w:val="00067024"/>
    <w:rsid w:val="00074B98"/>
    <w:rsid w:val="00081EA4"/>
    <w:rsid w:val="000853AD"/>
    <w:rsid w:val="00086EC1"/>
    <w:rsid w:val="00095AD9"/>
    <w:rsid w:val="00097992"/>
    <w:rsid w:val="000B0049"/>
    <w:rsid w:val="000D39CB"/>
    <w:rsid w:val="000E5162"/>
    <w:rsid w:val="00102462"/>
    <w:rsid w:val="001055D9"/>
    <w:rsid w:val="00110C34"/>
    <w:rsid w:val="00135B4A"/>
    <w:rsid w:val="001408FB"/>
    <w:rsid w:val="00140AEC"/>
    <w:rsid w:val="00142391"/>
    <w:rsid w:val="00143FCC"/>
    <w:rsid w:val="00152162"/>
    <w:rsid w:val="00153856"/>
    <w:rsid w:val="0015596F"/>
    <w:rsid w:val="00155BD0"/>
    <w:rsid w:val="00157904"/>
    <w:rsid w:val="001658E0"/>
    <w:rsid w:val="00184C1A"/>
    <w:rsid w:val="001855DF"/>
    <w:rsid w:val="00192A84"/>
    <w:rsid w:val="00196F0E"/>
    <w:rsid w:val="001A3D79"/>
    <w:rsid w:val="001B0840"/>
    <w:rsid w:val="001B206A"/>
    <w:rsid w:val="001C0B3C"/>
    <w:rsid w:val="001C1DAD"/>
    <w:rsid w:val="001C6B50"/>
    <w:rsid w:val="001D7CA4"/>
    <w:rsid w:val="001E4050"/>
    <w:rsid w:val="001E7FCC"/>
    <w:rsid w:val="001F1F21"/>
    <w:rsid w:val="001F7B9B"/>
    <w:rsid w:val="00214220"/>
    <w:rsid w:val="00215FDE"/>
    <w:rsid w:val="00215FFE"/>
    <w:rsid w:val="00224010"/>
    <w:rsid w:val="0022647F"/>
    <w:rsid w:val="00227A80"/>
    <w:rsid w:val="00237490"/>
    <w:rsid w:val="00250558"/>
    <w:rsid w:val="00254E62"/>
    <w:rsid w:val="00256BFE"/>
    <w:rsid w:val="00256F1E"/>
    <w:rsid w:val="0026476F"/>
    <w:rsid w:val="0027676D"/>
    <w:rsid w:val="00276A78"/>
    <w:rsid w:val="002859EE"/>
    <w:rsid w:val="0028609E"/>
    <w:rsid w:val="00286EE0"/>
    <w:rsid w:val="002920BC"/>
    <w:rsid w:val="00293113"/>
    <w:rsid w:val="002A3507"/>
    <w:rsid w:val="002C1C45"/>
    <w:rsid w:val="002D3AFF"/>
    <w:rsid w:val="00322551"/>
    <w:rsid w:val="003227C4"/>
    <w:rsid w:val="00324809"/>
    <w:rsid w:val="003273E1"/>
    <w:rsid w:val="00334110"/>
    <w:rsid w:val="0035239A"/>
    <w:rsid w:val="00355DAF"/>
    <w:rsid w:val="00356DA0"/>
    <w:rsid w:val="00363ED5"/>
    <w:rsid w:val="00373852"/>
    <w:rsid w:val="00382F55"/>
    <w:rsid w:val="003926C4"/>
    <w:rsid w:val="00394AA9"/>
    <w:rsid w:val="003B4BD8"/>
    <w:rsid w:val="003C44AA"/>
    <w:rsid w:val="003D532B"/>
    <w:rsid w:val="003D6F3D"/>
    <w:rsid w:val="003E4BEF"/>
    <w:rsid w:val="003E5556"/>
    <w:rsid w:val="004005ED"/>
    <w:rsid w:val="004010FF"/>
    <w:rsid w:val="004110A6"/>
    <w:rsid w:val="004111C6"/>
    <w:rsid w:val="00412217"/>
    <w:rsid w:val="004230B2"/>
    <w:rsid w:val="00431B87"/>
    <w:rsid w:val="0043531F"/>
    <w:rsid w:val="0044692F"/>
    <w:rsid w:val="004643A8"/>
    <w:rsid w:val="00474D03"/>
    <w:rsid w:val="00482743"/>
    <w:rsid w:val="00486EDF"/>
    <w:rsid w:val="004A72B7"/>
    <w:rsid w:val="004B471B"/>
    <w:rsid w:val="004B6703"/>
    <w:rsid w:val="004B6A6D"/>
    <w:rsid w:val="004C24F2"/>
    <w:rsid w:val="004C7843"/>
    <w:rsid w:val="004D627D"/>
    <w:rsid w:val="004D6B5B"/>
    <w:rsid w:val="005024A0"/>
    <w:rsid w:val="0050392F"/>
    <w:rsid w:val="00507159"/>
    <w:rsid w:val="005114FA"/>
    <w:rsid w:val="005151C5"/>
    <w:rsid w:val="00515D42"/>
    <w:rsid w:val="00517398"/>
    <w:rsid w:val="0054354E"/>
    <w:rsid w:val="00553C82"/>
    <w:rsid w:val="00560E03"/>
    <w:rsid w:val="00565769"/>
    <w:rsid w:val="005668AE"/>
    <w:rsid w:val="00581520"/>
    <w:rsid w:val="00591690"/>
    <w:rsid w:val="005A7F56"/>
    <w:rsid w:val="005B1E2C"/>
    <w:rsid w:val="005C2191"/>
    <w:rsid w:val="005C58DC"/>
    <w:rsid w:val="005D2540"/>
    <w:rsid w:val="005D7D7C"/>
    <w:rsid w:val="005F137A"/>
    <w:rsid w:val="005F24ED"/>
    <w:rsid w:val="005F706A"/>
    <w:rsid w:val="00602C5B"/>
    <w:rsid w:val="00605B46"/>
    <w:rsid w:val="00614F4B"/>
    <w:rsid w:val="00615B28"/>
    <w:rsid w:val="00632A1B"/>
    <w:rsid w:val="00632F71"/>
    <w:rsid w:val="006344EF"/>
    <w:rsid w:val="0063716C"/>
    <w:rsid w:val="006501F1"/>
    <w:rsid w:val="00661ED4"/>
    <w:rsid w:val="0066565C"/>
    <w:rsid w:val="006705D5"/>
    <w:rsid w:val="00671EB1"/>
    <w:rsid w:val="006B575F"/>
    <w:rsid w:val="006B79D8"/>
    <w:rsid w:val="006D5853"/>
    <w:rsid w:val="006D6FE8"/>
    <w:rsid w:val="00713CD0"/>
    <w:rsid w:val="00720648"/>
    <w:rsid w:val="007207A6"/>
    <w:rsid w:val="00726B0F"/>
    <w:rsid w:val="00727C52"/>
    <w:rsid w:val="00744C47"/>
    <w:rsid w:val="00754CF2"/>
    <w:rsid w:val="00756FFB"/>
    <w:rsid w:val="00773C8B"/>
    <w:rsid w:val="0077549A"/>
    <w:rsid w:val="00780219"/>
    <w:rsid w:val="00781B39"/>
    <w:rsid w:val="007825B2"/>
    <w:rsid w:val="007858ED"/>
    <w:rsid w:val="00790489"/>
    <w:rsid w:val="007947E6"/>
    <w:rsid w:val="007A3052"/>
    <w:rsid w:val="007C65B0"/>
    <w:rsid w:val="007D589E"/>
    <w:rsid w:val="0080088F"/>
    <w:rsid w:val="008029D0"/>
    <w:rsid w:val="00805061"/>
    <w:rsid w:val="00821916"/>
    <w:rsid w:val="00826DDC"/>
    <w:rsid w:val="00831A2D"/>
    <w:rsid w:val="00835051"/>
    <w:rsid w:val="0084037E"/>
    <w:rsid w:val="008449A0"/>
    <w:rsid w:val="00845A3D"/>
    <w:rsid w:val="00864066"/>
    <w:rsid w:val="00873426"/>
    <w:rsid w:val="00875AD7"/>
    <w:rsid w:val="00877BA5"/>
    <w:rsid w:val="0088030D"/>
    <w:rsid w:val="008933E7"/>
    <w:rsid w:val="008967AB"/>
    <w:rsid w:val="008A4166"/>
    <w:rsid w:val="008D03D9"/>
    <w:rsid w:val="008D0CF4"/>
    <w:rsid w:val="008E0105"/>
    <w:rsid w:val="008E35B0"/>
    <w:rsid w:val="008F1902"/>
    <w:rsid w:val="008F24D4"/>
    <w:rsid w:val="008F3614"/>
    <w:rsid w:val="008F7308"/>
    <w:rsid w:val="0090077D"/>
    <w:rsid w:val="0090347A"/>
    <w:rsid w:val="00903CB9"/>
    <w:rsid w:val="0090707A"/>
    <w:rsid w:val="009128E0"/>
    <w:rsid w:val="009136B3"/>
    <w:rsid w:val="009227E3"/>
    <w:rsid w:val="00926F63"/>
    <w:rsid w:val="00931BA1"/>
    <w:rsid w:val="009329C1"/>
    <w:rsid w:val="009540CD"/>
    <w:rsid w:val="00956EAD"/>
    <w:rsid w:val="0095747B"/>
    <w:rsid w:val="00967B23"/>
    <w:rsid w:val="00971536"/>
    <w:rsid w:val="00986EEC"/>
    <w:rsid w:val="009920D6"/>
    <w:rsid w:val="00992FF9"/>
    <w:rsid w:val="00996338"/>
    <w:rsid w:val="009A4B86"/>
    <w:rsid w:val="009C3517"/>
    <w:rsid w:val="009F3A55"/>
    <w:rsid w:val="009F6C48"/>
    <w:rsid w:val="00A04A44"/>
    <w:rsid w:val="00A11EC6"/>
    <w:rsid w:val="00A132E5"/>
    <w:rsid w:val="00A138B5"/>
    <w:rsid w:val="00A20306"/>
    <w:rsid w:val="00A33103"/>
    <w:rsid w:val="00A43C51"/>
    <w:rsid w:val="00A47466"/>
    <w:rsid w:val="00A522A6"/>
    <w:rsid w:val="00A53289"/>
    <w:rsid w:val="00A63070"/>
    <w:rsid w:val="00A64A5A"/>
    <w:rsid w:val="00A64B22"/>
    <w:rsid w:val="00A703AD"/>
    <w:rsid w:val="00A85EBC"/>
    <w:rsid w:val="00AA17C5"/>
    <w:rsid w:val="00AB27B5"/>
    <w:rsid w:val="00AB3BBD"/>
    <w:rsid w:val="00AB3EF5"/>
    <w:rsid w:val="00AC3D45"/>
    <w:rsid w:val="00AE5DD0"/>
    <w:rsid w:val="00B0394F"/>
    <w:rsid w:val="00B07502"/>
    <w:rsid w:val="00B67616"/>
    <w:rsid w:val="00B734A2"/>
    <w:rsid w:val="00B76AFE"/>
    <w:rsid w:val="00B85E81"/>
    <w:rsid w:val="00BA5F53"/>
    <w:rsid w:val="00BB03FC"/>
    <w:rsid w:val="00BB1B99"/>
    <w:rsid w:val="00BB6F6E"/>
    <w:rsid w:val="00BC5870"/>
    <w:rsid w:val="00BE56EB"/>
    <w:rsid w:val="00BE5774"/>
    <w:rsid w:val="00BF4737"/>
    <w:rsid w:val="00BF5271"/>
    <w:rsid w:val="00C0524F"/>
    <w:rsid w:val="00C06316"/>
    <w:rsid w:val="00C12C1F"/>
    <w:rsid w:val="00C17129"/>
    <w:rsid w:val="00C178B5"/>
    <w:rsid w:val="00C2113B"/>
    <w:rsid w:val="00C30788"/>
    <w:rsid w:val="00C35623"/>
    <w:rsid w:val="00C37476"/>
    <w:rsid w:val="00C56A3D"/>
    <w:rsid w:val="00C577D7"/>
    <w:rsid w:val="00C618AD"/>
    <w:rsid w:val="00C76818"/>
    <w:rsid w:val="00C81EC8"/>
    <w:rsid w:val="00C90DE0"/>
    <w:rsid w:val="00C9101C"/>
    <w:rsid w:val="00CA3871"/>
    <w:rsid w:val="00CA487C"/>
    <w:rsid w:val="00CB0201"/>
    <w:rsid w:val="00CD1E99"/>
    <w:rsid w:val="00CD4C4E"/>
    <w:rsid w:val="00CE27CF"/>
    <w:rsid w:val="00D00FCC"/>
    <w:rsid w:val="00D071EA"/>
    <w:rsid w:val="00D17391"/>
    <w:rsid w:val="00D3270F"/>
    <w:rsid w:val="00D36520"/>
    <w:rsid w:val="00D433B5"/>
    <w:rsid w:val="00D64716"/>
    <w:rsid w:val="00D65567"/>
    <w:rsid w:val="00D80960"/>
    <w:rsid w:val="00D92F5F"/>
    <w:rsid w:val="00D93978"/>
    <w:rsid w:val="00D93A02"/>
    <w:rsid w:val="00D97805"/>
    <w:rsid w:val="00DA3847"/>
    <w:rsid w:val="00DB50D9"/>
    <w:rsid w:val="00DB5240"/>
    <w:rsid w:val="00DD1E0E"/>
    <w:rsid w:val="00DD310C"/>
    <w:rsid w:val="00DD3603"/>
    <w:rsid w:val="00DD4616"/>
    <w:rsid w:val="00DD7169"/>
    <w:rsid w:val="00DE5309"/>
    <w:rsid w:val="00DE6BDF"/>
    <w:rsid w:val="00E0150E"/>
    <w:rsid w:val="00E135B3"/>
    <w:rsid w:val="00E25299"/>
    <w:rsid w:val="00E37ADC"/>
    <w:rsid w:val="00E41A3F"/>
    <w:rsid w:val="00E427FD"/>
    <w:rsid w:val="00E44037"/>
    <w:rsid w:val="00E465D7"/>
    <w:rsid w:val="00E47851"/>
    <w:rsid w:val="00E51635"/>
    <w:rsid w:val="00E644AE"/>
    <w:rsid w:val="00E64567"/>
    <w:rsid w:val="00E6490C"/>
    <w:rsid w:val="00E966EA"/>
    <w:rsid w:val="00EA7F80"/>
    <w:rsid w:val="00EC27CE"/>
    <w:rsid w:val="00ED58FE"/>
    <w:rsid w:val="00EF61D9"/>
    <w:rsid w:val="00F16665"/>
    <w:rsid w:val="00F178A5"/>
    <w:rsid w:val="00F30892"/>
    <w:rsid w:val="00F308A7"/>
    <w:rsid w:val="00F37F98"/>
    <w:rsid w:val="00F4621E"/>
    <w:rsid w:val="00F53D8C"/>
    <w:rsid w:val="00F57157"/>
    <w:rsid w:val="00F645F8"/>
    <w:rsid w:val="00F64AD3"/>
    <w:rsid w:val="00F84925"/>
    <w:rsid w:val="00F87DA0"/>
    <w:rsid w:val="00FA43F1"/>
    <w:rsid w:val="00FC08E3"/>
    <w:rsid w:val="00FC101A"/>
    <w:rsid w:val="00FC35FA"/>
    <w:rsid w:val="00FC7E16"/>
    <w:rsid w:val="00FE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16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2A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2A8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0740;&#31350;&#29983;&#25307;&#29983;\2018&#24180;&#25307;&#29983;\2018&#24180;&#23433;&#24509;&#21307;&#31185;&#22823;&#23398;&#30805;&#22763;&#12289;&#21338;&#22763;&#25307;&#29983;&#31456;&#31243;&#21360;&#21046;&#26448;&#26009;\2018&#24180;&#26448;&#26009;\2&#12289;&#30446;&#24405;&#21450;&#20854;&#23427;\2015-2016&#23626;&#23601;&#19994;&#24773;&#20917;&#32479;&#35745;&#65288;1&#20010;&#29256;&#38754;&#65289;\2017&#23626;&#27605;&#19994;&#29983;&#21021;&#27425;&#23601;&#19994;&#21333;&#20301;&#24615;&#3613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&#30740;&#31350;&#29983;&#25307;&#29983;\2019&#24180;&#25307;&#29983;\2019&#23450;&#31295;&#30446;&#24405;\2018&#23626;&#21021;&#27425;&#23601;&#19994;&#21333;&#20301;&#24615;&#36136;&#65288;&#39292;&#29366;&#22270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6281508714652801E-2"/>
                  <c:y val="-1.8200973820690903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国有企业</a:t>
                    </a:r>
                    <a:r>
                      <a:rPr lang="en-US" altLang="zh-CN"/>
                      <a:t>0.78%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4129831699648601"/>
                      <c:h val="3.8139662505144702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4392706855899523"/>
                  <c:y val="2.2689338484481257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高等教育单位</a:t>
                    </a:r>
                    <a:r>
                      <a:rPr lang="en-US" altLang="zh-CN"/>
                      <a:t>3.01%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7358697640387799"/>
                      <c:h val="4.1008998377341802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0.13524569591016616"/>
                  <c:y val="-6.036108374004276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医疗卫生单位</a:t>
                    </a:r>
                    <a:r>
                      <a:rPr lang="en-US" altLang="zh-CN"/>
                      <a:t>78.18%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78434241814523"/>
                      <c:h val="4.1008998377341802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6.8936029152635178E-2"/>
                  <c:y val="3.9872897490578256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国有企业</a:t>
                    </a:r>
                    <a:r>
                      <a:rPr lang="en-US" altLang="zh-CN"/>
                      <a:t>0.78%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2804097311139601"/>
                      <c:h val="4.1008998377341802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2.9395225927506312E-2"/>
                  <c:y val="3.3273253644262715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其他企业</a:t>
                    </a:r>
                    <a:r>
                      <a:rPr lang="en-US" altLang="zh-CN"/>
                      <a:t>5.72%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6755075910005501"/>
                      <c:h val="4.1008998377341802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923319223948505E-2"/>
                  <c:y val="-6.1016446053624553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自主创业</a:t>
                    </a:r>
                    <a:r>
                      <a:rPr lang="en-US" altLang="zh-CN"/>
                      <a:t>0.10%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21913297969636"/>
                      <c:h val="4.1008998377341802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9.6702581812322982E-2"/>
                  <c:y val="4.2443607499079224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出国、出境</a:t>
                    </a:r>
                    <a:r>
                      <a:rPr lang="en-US" altLang="zh-CN"/>
                      <a:t>0.39%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5593561368209299"/>
                      <c:h val="4.1008998377341802E-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2.7108679329649735E-2"/>
                  <c:y val="-1.703052880100512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升学</a:t>
                    </a:r>
                    <a:r>
                      <a:rPr lang="en-US" altLang="zh-CN"/>
                      <a:t>3.49%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0.10197548929943299"/>
                      <c:h val="4.1008998377341802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4.1569067784061615E-2"/>
                  <c:y val="-4.9251607547295434E-2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其他</a:t>
                    </a:r>
                    <a:r>
                      <a:rPr lang="en-US" altLang="zh-CN"/>
                      <a:t>1.07%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9.2901687454145301E-2"/>
                      <c:h val="4.2598660777888597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5.134246388614129E-3"/>
                  <c:y val="9.8618300639065343E-5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待就业</a:t>
                    </a:r>
                    <a:r>
                      <a:rPr lang="en-US" altLang="zh-CN"/>
                      <a:t>6.50%</a:t>
                    </a:r>
                  </a:p>
                </c:rich>
              </c:tx>
              <c:dLblPos val="bestFit"/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7.2498612909191795E-2"/>
                      <c:h val="6.8596515297022903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最终图表!$A$3:$A$12</c:f>
              <c:strCache>
                <c:ptCount val="10"/>
                <c:pt idx="0">
                  <c:v>科研设计单位</c:v>
                </c:pt>
                <c:pt idx="1">
                  <c:v>高等教育单位</c:v>
                </c:pt>
                <c:pt idx="2">
                  <c:v>医疗卫生单位</c:v>
                </c:pt>
                <c:pt idx="3">
                  <c:v>国有企业</c:v>
                </c:pt>
                <c:pt idx="4">
                  <c:v>其他企业</c:v>
                </c:pt>
                <c:pt idx="5">
                  <c:v>自主创业</c:v>
                </c:pt>
                <c:pt idx="6">
                  <c:v>出国、出境</c:v>
                </c:pt>
                <c:pt idx="7">
                  <c:v>升学</c:v>
                </c:pt>
                <c:pt idx="8">
                  <c:v>其他</c:v>
                </c:pt>
                <c:pt idx="9">
                  <c:v>待就业</c:v>
                </c:pt>
              </c:strCache>
            </c:strRef>
          </c:cat>
          <c:val>
            <c:numRef>
              <c:f>最终图表!$B$3:$B$12</c:f>
              <c:numCache>
                <c:formatCode>0.00%</c:formatCode>
                <c:ptCount val="10"/>
                <c:pt idx="0">
                  <c:v>7.800000000000004E-3</c:v>
                </c:pt>
                <c:pt idx="1">
                  <c:v>3.0100000000000002E-2</c:v>
                </c:pt>
                <c:pt idx="2">
                  <c:v>0.78180000000000005</c:v>
                </c:pt>
                <c:pt idx="3">
                  <c:v>7.800000000000004E-3</c:v>
                </c:pt>
                <c:pt idx="4">
                  <c:v>5.7200000000000001E-2</c:v>
                </c:pt>
                <c:pt idx="5">
                  <c:v>1.0000000000000009E-3</c:v>
                </c:pt>
                <c:pt idx="6">
                  <c:v>3.900000000000002E-3</c:v>
                </c:pt>
                <c:pt idx="7">
                  <c:v>3.49E-2</c:v>
                </c:pt>
                <c:pt idx="8">
                  <c:v>1.0699999999999998E-2</c:v>
                </c:pt>
                <c:pt idx="9">
                  <c:v>6.5000000000000002E-2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CN"/>
  <c:chart>
    <c:autoTitleDeleted val="1"/>
    <c:plotArea>
      <c:layout>
        <c:manualLayout>
          <c:layoutTarget val="inner"/>
          <c:xMode val="edge"/>
          <c:yMode val="edge"/>
          <c:x val="0.30968630021537635"/>
          <c:y val="0.16152539707501176"/>
          <c:w val="0.38062739956924857"/>
          <c:h val="0.6392074225507160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dPt>
            <c:idx val="0"/>
            <c:spPr>
              <a:solidFill>
                <a:srgbClr val="FBC131"/>
              </a:solidFill>
              <a:ln w="12700">
                <a:solidFill>
                  <a:srgbClr val="CCFFCC"/>
                </a:solidFill>
                <a:prstDash val="solid"/>
              </a:ln>
            </c:spPr>
          </c:dPt>
          <c:dPt>
            <c:idx val="1"/>
            <c:spPr>
              <a:solidFill>
                <a:srgbClr val="28D96D"/>
              </a:solidFill>
              <a:ln w="12700">
                <a:solidFill>
                  <a:srgbClr val="CCFFCC"/>
                </a:solidFill>
                <a:prstDash val="solid"/>
              </a:ln>
            </c:spPr>
          </c:dPt>
          <c:dPt>
            <c:idx val="2"/>
            <c:spPr>
              <a:solidFill>
                <a:srgbClr val="4087F3"/>
              </a:solidFill>
              <a:ln w="12700">
                <a:solidFill>
                  <a:srgbClr val="CCFFCC"/>
                </a:solidFill>
                <a:prstDash val="solid"/>
              </a:ln>
            </c:spPr>
          </c:dPt>
          <c:dPt>
            <c:idx val="3"/>
            <c:spPr>
              <a:solidFill>
                <a:srgbClr val="FF5A60"/>
              </a:solidFill>
              <a:ln w="12700">
                <a:solidFill>
                  <a:srgbClr val="CCFFCC"/>
                </a:solidFill>
                <a:prstDash val="solid"/>
              </a:ln>
            </c:spPr>
          </c:dPt>
          <c:dPt>
            <c:idx val="4"/>
            <c:spPr>
              <a:solidFill>
                <a:srgbClr val="00B0F9"/>
              </a:solidFill>
              <a:ln w="12700">
                <a:solidFill>
                  <a:srgbClr val="CCFFCC"/>
                </a:solidFill>
                <a:prstDash val="solid"/>
              </a:ln>
            </c:spPr>
          </c:dPt>
          <c:dPt>
            <c:idx val="5"/>
            <c:spPr>
              <a:solidFill>
                <a:srgbClr val="615E6F"/>
              </a:solidFill>
              <a:ln w="12700">
                <a:solidFill>
                  <a:srgbClr val="CCFFCC"/>
                </a:solidFill>
                <a:prstDash val="solid"/>
              </a:ln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4.5502750206633809E-2"/>
                  <c:y val="-4.2189480038286063E-2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2"/>
              <c:layout>
                <c:manualLayout>
                  <c:x val="3.7267613452360793E-2"/>
                  <c:y val="-8.6077181011849135E-2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3"/>
              <c:layout>
                <c:manualLayout>
                  <c:x val="3.1388122559439152E-2"/>
                  <c:y val="-0.13043979926098181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4"/>
              <c:layout>
                <c:manualLayout>
                  <c:x val="3.0142743704172886E-2"/>
                  <c:y val="-0.15954502530291961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宋体"/>
                        <a:ea typeface="宋体"/>
                        <a:cs typeface="宋体"/>
                      </a:defRPr>
                    </a:pPr>
                    <a:r>
                      <a:rPr lang="zh-CN" altLang="en-US" sz="900" b="0" i="0" u="none" strike="noStrike" baseline="0">
                        <a:solidFill>
                          <a:srgbClr val="000000"/>
                        </a:solidFill>
                        <a:latin typeface="华文细黑"/>
                        <a:ea typeface="华文细黑"/>
                      </a:rPr>
                      <a:t>高等教育单位 </a:t>
                    </a:r>
                    <a:r>
                      <a:rPr lang="en-US" altLang="zh-CN" sz="900" b="0" i="0" u="none" strike="noStrike" baseline="0">
                        <a:solidFill>
                          <a:srgbClr val="000000"/>
                        </a:solidFill>
                        <a:latin typeface="华文细黑"/>
                        <a:ea typeface="华文细黑"/>
                      </a:rPr>
                      <a:t>3.48%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5"/>
              <c:layout>
                <c:manualLayout>
                  <c:x val="4.0523506234558068E-2"/>
                  <c:y val="-0.14111822137593474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宋体"/>
                        <a:ea typeface="宋体"/>
                        <a:cs typeface="宋体"/>
                      </a:defRPr>
                    </a:pPr>
                    <a:r>
                      <a:rPr lang="zh-CN" altLang="en-US" sz="900" b="0" i="0" u="none" strike="noStrike" baseline="0">
                        <a:solidFill>
                          <a:srgbClr val="000000"/>
                        </a:solidFill>
                        <a:latin typeface="华文细黑"/>
                        <a:ea typeface="华文细黑"/>
                      </a:rPr>
                      <a:t>机关 </a:t>
                    </a:r>
                    <a:r>
                      <a:rPr lang="en-US" altLang="zh-CN" sz="900" b="0" i="0" u="none" strike="noStrike" baseline="0">
                        <a:solidFill>
                          <a:srgbClr val="000000"/>
                        </a:solidFill>
                        <a:latin typeface="华文细黑"/>
                        <a:ea typeface="华文细黑"/>
                      </a:rPr>
                      <a:t>0.36%</a:t>
                    </a:r>
                  </a:p>
                </c:rich>
              </c:tx>
              <c:numFmt formatCode="0.00%" sourceLinked="0"/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6"/>
              <c:layout>
                <c:manualLayout>
                  <c:x val="4.3981681469304444E-2"/>
                  <c:y val="-8.4517960509311166E-2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7"/>
              <c:layout>
                <c:manualLayout>
                  <c:x val="4.936111275258482E-2"/>
                  <c:y val="-2.8231752859657535E-2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8"/>
              <c:layout>
                <c:manualLayout>
                  <c:x val="5.5103350326915032E-2"/>
                  <c:y val="2.3602508533166137E-2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9"/>
              <c:layout>
                <c:manualLayout>
                  <c:x val="5.9710457084251822E-2"/>
                  <c:y val="7.2254415807515154E-2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10"/>
              <c:layout>
                <c:manualLayout>
                  <c:x val="4.9328793956469864E-2"/>
                  <c:y val="0.12619158737674502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11"/>
              <c:layout>
                <c:manualLayout>
                  <c:x val="3.3165611248460528E-2"/>
                  <c:y val="0.17936297725648631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dLbl>
              <c:idx val="12"/>
              <c:layout>
                <c:manualLayout>
                  <c:x val="-5.9290205421122781E-2"/>
                  <c:y val="0.23745862462216449"/>
                </c:manualLayout>
              </c:layout>
              <c:dLblPos val="bestFit"/>
              <c:showLegendKey val="1"/>
              <c:showCatName val="1"/>
              <c:showPercent val="1"/>
              <c:separator> </c:separator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华文细黑"/>
                    <a:ea typeface="华文细黑"/>
                    <a:cs typeface="华文细黑"/>
                  </a:defRPr>
                </a:pPr>
                <a:endParaRPr lang="zh-CN"/>
              </a:p>
            </c:txPr>
            <c:showLegendKey val="1"/>
            <c:showCatName val="1"/>
            <c:showPercent val="1"/>
            <c:separator> </c:separator>
            <c:showLeaderLines val="1"/>
            <c:leaderLines>
              <c:spPr>
                <a:ln w="3175">
                  <a:solidFill>
                    <a:srgbClr val="969696"/>
                  </a:solidFill>
                  <a:prstDash val="solid"/>
                </a:ln>
              </c:spPr>
            </c:leaderLines>
          </c:dLbls>
          <c:cat>
            <c:strRef>
              <c:f>Sheet1!$A$2:$A$14</c:f>
              <c:strCache>
                <c:ptCount val="13"/>
                <c:pt idx="0">
                  <c:v>医疗卫生单位</c:v>
                </c:pt>
                <c:pt idx="1">
                  <c:v>其他企业</c:v>
                </c:pt>
                <c:pt idx="2">
                  <c:v>待就业</c:v>
                </c:pt>
                <c:pt idx="3">
                  <c:v>升学</c:v>
                </c:pt>
                <c:pt idx="4">
                  <c:v>高等教育单位</c:v>
                </c:pt>
                <c:pt idx="5">
                  <c:v>机关</c:v>
                </c:pt>
                <c:pt idx="6">
                  <c:v>出国出境</c:v>
                </c:pt>
                <c:pt idx="7">
                  <c:v>三资企业</c:v>
                </c:pt>
                <c:pt idx="8">
                  <c:v>国有企业</c:v>
                </c:pt>
                <c:pt idx="9">
                  <c:v>科研设计单位</c:v>
                </c:pt>
                <c:pt idx="10">
                  <c:v>其他事业单位</c:v>
                </c:pt>
                <c:pt idx="11">
                  <c:v>中初教育单位</c:v>
                </c:pt>
                <c:pt idx="12">
                  <c:v>国家基础项目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855</c:v>
                </c:pt>
                <c:pt idx="1">
                  <c:v>68</c:v>
                </c:pt>
                <c:pt idx="2">
                  <c:v>65</c:v>
                </c:pt>
                <c:pt idx="3">
                  <c:v>51</c:v>
                </c:pt>
                <c:pt idx="4">
                  <c:v>39</c:v>
                </c:pt>
                <c:pt idx="5">
                  <c:v>4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3</c:v>
                </c:pt>
                <c:pt idx="10">
                  <c:v>4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firstSliceAng val="117"/>
      </c:pie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55" b="0" i="0" u="none" strike="noStrike" baseline="0">
                <a:solidFill>
                  <a:srgbClr val="808080"/>
                </a:solidFill>
                <a:latin typeface="微软雅黑"/>
                <a:ea typeface="微软雅黑"/>
                <a:cs typeface="微软雅黑"/>
              </a:defRPr>
            </a:pPr>
            <a:endParaRPr lang="zh-CN"/>
          </a:p>
        </c:txPr>
      </c:legendEntry>
      <c:legendEntry>
        <c:idx val="1"/>
        <c:txPr>
          <a:bodyPr/>
          <a:lstStyle/>
          <a:p>
            <a:pPr>
              <a:defRPr sz="755" b="0" i="0" u="none" strike="noStrike" baseline="0">
                <a:solidFill>
                  <a:srgbClr val="808080"/>
                </a:solidFill>
                <a:latin typeface="微软雅黑"/>
                <a:ea typeface="微软雅黑"/>
                <a:cs typeface="微软雅黑"/>
              </a:defRPr>
            </a:pPr>
            <a:endParaRPr lang="zh-CN"/>
          </a:p>
        </c:txPr>
      </c:legendEntry>
      <c:legendEntry>
        <c:idx val="2"/>
        <c:txPr>
          <a:bodyPr/>
          <a:lstStyle/>
          <a:p>
            <a:pPr>
              <a:defRPr sz="755" b="0" i="0" u="none" strike="noStrike" baseline="0">
                <a:solidFill>
                  <a:srgbClr val="808080"/>
                </a:solidFill>
                <a:latin typeface="微软雅黑"/>
                <a:ea typeface="微软雅黑"/>
                <a:cs typeface="微软雅黑"/>
              </a:defRPr>
            </a:pPr>
            <a:endParaRPr lang="zh-CN"/>
          </a:p>
        </c:txPr>
      </c:legendEntry>
      <c:legendEntry>
        <c:idx val="3"/>
        <c:txPr>
          <a:bodyPr/>
          <a:lstStyle/>
          <a:p>
            <a:pPr>
              <a:defRPr sz="755" b="0" i="0" u="none" strike="noStrike" baseline="0">
                <a:solidFill>
                  <a:srgbClr val="808080"/>
                </a:solidFill>
                <a:latin typeface="微软雅黑"/>
                <a:ea typeface="微软雅黑"/>
                <a:cs typeface="微软雅黑"/>
              </a:defRPr>
            </a:pPr>
            <a:endParaRPr lang="zh-CN"/>
          </a:p>
        </c:txPr>
      </c:legendEntry>
      <c:legendEntry>
        <c:idx val="4"/>
        <c:txPr>
          <a:bodyPr/>
          <a:lstStyle/>
          <a:p>
            <a:pPr>
              <a:defRPr sz="755" b="0" i="0" u="none" strike="noStrike" baseline="0">
                <a:solidFill>
                  <a:srgbClr val="808080"/>
                </a:solidFill>
                <a:latin typeface="微软雅黑"/>
                <a:ea typeface="微软雅黑"/>
                <a:cs typeface="微软雅黑"/>
              </a:defRPr>
            </a:pPr>
            <a:endParaRPr lang="zh-CN"/>
          </a:p>
        </c:txPr>
      </c:legendEntry>
      <c:legendEntry>
        <c:idx val="5"/>
        <c:txPr>
          <a:bodyPr/>
          <a:lstStyle/>
          <a:p>
            <a:pPr>
              <a:defRPr sz="755" b="0" i="0" u="none" strike="noStrike" baseline="0">
                <a:solidFill>
                  <a:srgbClr val="808080"/>
                </a:solidFill>
                <a:latin typeface="微软雅黑"/>
                <a:ea typeface="微软雅黑"/>
                <a:cs typeface="微软雅黑"/>
              </a:defRPr>
            </a:pPr>
            <a:endParaRPr lang="zh-CN"/>
          </a:p>
        </c:txPr>
      </c:legendEntry>
      <c:layout>
        <c:manualLayout>
          <c:xMode val="edge"/>
          <c:yMode val="edge"/>
          <c:x val="1.9662921348314634E-2"/>
          <c:y val="6.2015775159887973E-2"/>
          <c:w val="0.12078666430741106"/>
          <c:h val="0.70801223490474541"/>
        </c:manualLayout>
      </c:layout>
      <c:spPr>
        <a:noFill/>
        <a:ln w="25400">
          <a:noFill/>
        </a:ln>
      </c:spPr>
      <c:txPr>
        <a:bodyPr/>
        <a:lstStyle/>
        <a:p>
          <a:pPr>
            <a:defRPr sz="755" b="0" i="0" u="none" strike="noStrike" baseline="0">
              <a:solidFill>
                <a:srgbClr val="808080"/>
              </a:solidFill>
              <a:latin typeface="微软雅黑"/>
              <a:ea typeface="微软雅黑"/>
              <a:cs typeface="微软雅黑"/>
            </a:defRPr>
          </a:pPr>
          <a:endParaRPr lang="zh-CN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凌春笋</dc:creator>
  <cp:keywords/>
  <dc:description/>
  <cp:lastModifiedBy>丁瑞</cp:lastModifiedBy>
  <cp:revision>6</cp:revision>
  <dcterms:created xsi:type="dcterms:W3CDTF">2016-09-23T10:51:00Z</dcterms:created>
  <dcterms:modified xsi:type="dcterms:W3CDTF">2018-09-13T08:39:00Z</dcterms:modified>
</cp:coreProperties>
</file>